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CA3" w:rsidRPr="002534B0" w:rsidRDefault="00CB3B04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   </w:t>
      </w:r>
      <w:bookmarkStart w:id="0" w:name="_GoBack"/>
      <w:bookmarkEnd w:id="0"/>
      <w:r w:rsidR="00D70F4A" w:rsidRPr="002534B0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1C0CA3" w:rsidRPr="002534B0" w:rsidRDefault="00D70F4A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534B0">
        <w:rPr>
          <w:rFonts w:ascii="Corbel" w:hAnsi="Corbel"/>
          <w:b/>
          <w:smallCaps/>
          <w:lang w:val="pl-PL"/>
        </w:rPr>
        <w:t>SYLABUS</w:t>
      </w:r>
    </w:p>
    <w:p w:rsidR="001C0CA3" w:rsidRPr="002534B0" w:rsidRDefault="00D70F4A">
      <w:pPr>
        <w:pStyle w:val="Standard"/>
        <w:jc w:val="center"/>
        <w:rPr>
          <w:rFonts w:hint="eastAsia"/>
          <w:lang w:val="pl-PL"/>
        </w:rPr>
      </w:pPr>
      <w:r w:rsidRPr="002534B0">
        <w:rPr>
          <w:rFonts w:ascii="Corbel" w:hAnsi="Corbel"/>
          <w:b/>
          <w:smallCaps/>
          <w:lang w:val="pl-PL"/>
        </w:rPr>
        <w:t xml:space="preserve">dotyczy cyklu kształcenia </w:t>
      </w:r>
      <w:r w:rsidR="0025467A" w:rsidRPr="002534B0">
        <w:rPr>
          <w:rFonts w:ascii="Corbel" w:hAnsi="Corbel"/>
          <w:b/>
          <w:i/>
          <w:smallCaps/>
          <w:lang w:val="pl-PL"/>
        </w:rPr>
        <w:t>202</w:t>
      </w:r>
      <w:r w:rsidR="00744686">
        <w:rPr>
          <w:rFonts w:ascii="Corbel" w:hAnsi="Corbel"/>
          <w:b/>
          <w:i/>
          <w:smallCaps/>
          <w:lang w:val="pl-PL"/>
        </w:rPr>
        <w:t>1</w:t>
      </w:r>
      <w:r w:rsidR="0025467A" w:rsidRPr="002534B0">
        <w:rPr>
          <w:rFonts w:ascii="Corbel" w:hAnsi="Corbel"/>
          <w:b/>
          <w:i/>
          <w:smallCaps/>
          <w:lang w:val="pl-PL"/>
        </w:rPr>
        <w:t>/202</w:t>
      </w:r>
      <w:r w:rsidR="00744686">
        <w:rPr>
          <w:rFonts w:ascii="Corbel" w:hAnsi="Corbel"/>
          <w:b/>
          <w:i/>
          <w:smallCaps/>
          <w:lang w:val="pl-PL"/>
        </w:rPr>
        <w:t>3</w:t>
      </w:r>
    </w:p>
    <w:p w:rsidR="001C0CA3" w:rsidRPr="002534B0" w:rsidRDefault="00D70F4A">
      <w:pPr>
        <w:pStyle w:val="Standard"/>
        <w:jc w:val="both"/>
        <w:rPr>
          <w:rFonts w:hint="eastAsia"/>
          <w:lang w:val="pl-PL"/>
        </w:rPr>
      </w:pPr>
      <w:r w:rsidRPr="002534B0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534B0">
        <w:rPr>
          <w:rFonts w:ascii="Corbel" w:hAnsi="Corbel"/>
          <w:lang w:val="pl-PL"/>
        </w:rPr>
        <w:t>)</w:t>
      </w:r>
    </w:p>
    <w:p w:rsidR="001C0CA3" w:rsidRPr="002534B0" w:rsidRDefault="00F73EDE">
      <w:pPr>
        <w:pStyle w:val="Standard"/>
        <w:jc w:val="both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</w:r>
      <w:r w:rsidRPr="002534B0">
        <w:rPr>
          <w:rFonts w:ascii="Corbel" w:hAnsi="Corbel"/>
          <w:lang w:val="pl-PL"/>
        </w:rPr>
        <w:tab/>
        <w:t>Rok akademicki  202</w:t>
      </w:r>
      <w:r w:rsidR="00744686">
        <w:rPr>
          <w:rFonts w:ascii="Corbel" w:hAnsi="Corbel"/>
          <w:lang w:val="pl-PL"/>
        </w:rPr>
        <w:t>2</w:t>
      </w:r>
      <w:r w:rsidRPr="002534B0">
        <w:rPr>
          <w:rFonts w:ascii="Corbel" w:hAnsi="Corbel"/>
          <w:lang w:val="pl-PL"/>
        </w:rPr>
        <w:t>/202</w:t>
      </w:r>
      <w:r w:rsidR="00744686">
        <w:rPr>
          <w:rFonts w:ascii="Corbel" w:hAnsi="Corbel"/>
          <w:lang w:val="pl-PL"/>
        </w:rPr>
        <w:t>3</w:t>
      </w:r>
    </w:p>
    <w:p w:rsidR="001C0CA3" w:rsidRPr="002534B0" w:rsidRDefault="001C0CA3">
      <w:pPr>
        <w:pStyle w:val="Standard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2534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2534B0" w:rsidP="002534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EB78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D70F4A"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534B0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1C0CA3" w:rsidRPr="002534B0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534B0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1C0CA3" w:rsidRPr="002534B0" w:rsidRDefault="00D70F4A">
      <w:pPr>
        <w:pStyle w:val="Podpunkty"/>
        <w:ind w:left="0"/>
        <w:rPr>
          <w:lang w:val="pl-PL"/>
        </w:rPr>
      </w:pPr>
      <w:r w:rsidRPr="002534B0">
        <w:rPr>
          <w:rFonts w:ascii="Corbel" w:hAnsi="Corbel"/>
          <w:szCs w:val="24"/>
          <w:lang w:val="pl-PL"/>
        </w:rPr>
        <w:t xml:space="preserve">* </w:t>
      </w:r>
      <w:r w:rsidRPr="002534B0">
        <w:rPr>
          <w:rFonts w:ascii="Corbel" w:hAnsi="Corbel"/>
          <w:i/>
          <w:szCs w:val="24"/>
          <w:lang w:val="pl-PL"/>
        </w:rPr>
        <w:t>-</w:t>
      </w:r>
      <w:r w:rsidRPr="002534B0">
        <w:rPr>
          <w:rFonts w:ascii="Corbel" w:hAnsi="Corbel"/>
          <w:b w:val="0"/>
          <w:i/>
          <w:szCs w:val="24"/>
          <w:lang w:val="pl-PL"/>
        </w:rPr>
        <w:t>opcjonalni</w:t>
      </w:r>
      <w:r w:rsidRPr="002534B0">
        <w:rPr>
          <w:rFonts w:ascii="Corbel" w:hAnsi="Corbel"/>
          <w:b w:val="0"/>
          <w:szCs w:val="24"/>
          <w:lang w:val="pl-PL"/>
        </w:rPr>
        <w:t>e,</w:t>
      </w:r>
      <w:r w:rsidRPr="002534B0">
        <w:rPr>
          <w:rFonts w:ascii="Corbel" w:hAnsi="Corbel"/>
          <w:i/>
          <w:szCs w:val="24"/>
          <w:lang w:val="pl-PL"/>
        </w:rPr>
        <w:t xml:space="preserve"> </w:t>
      </w:r>
      <w:r w:rsidRPr="002534B0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1C0CA3" w:rsidRPr="002534B0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1C0CA3" w:rsidRPr="002534B0" w:rsidRDefault="00D70F4A">
      <w:pPr>
        <w:pStyle w:val="Podpunkty"/>
        <w:ind w:left="0"/>
        <w:rPr>
          <w:rFonts w:ascii="Corbel" w:hAnsi="Corbel"/>
          <w:szCs w:val="24"/>
          <w:lang w:val="pl-PL"/>
        </w:rPr>
      </w:pPr>
      <w:r w:rsidRPr="002534B0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1C0CA3" w:rsidRPr="002534B0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1C0CA3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1C0CA3" w:rsidRDefault="001C0C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1C0CA3" w:rsidRDefault="001C0CA3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2534B0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 xml:space="preserve">1.3 </w:t>
      </w:r>
      <w:r w:rsidRPr="002534B0">
        <w:rPr>
          <w:rFonts w:ascii="Corbel" w:hAnsi="Corbel"/>
          <w:lang w:val="pl-PL"/>
        </w:rPr>
        <w:tab/>
        <w:t>Forma zaliczenia przedmiotu  (z toku)</w:t>
      </w:r>
    </w:p>
    <w:p w:rsidR="001C0CA3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1C0CA3" w:rsidRDefault="00D70F4A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1C0CA3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3. cele, efekty uczenia się , treści Programowe i stosowane metody Dydaktyczne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p w:rsidR="001C0CA3" w:rsidRDefault="00D70F4A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1C0CA3" w:rsidRDefault="001C0CA3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1C0CA3" w:rsidRPr="002534B0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534B0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1C0CA3" w:rsidRDefault="00D70F4A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proofErr w:type="spellEnd"/>
    </w:p>
    <w:p w:rsidR="001C0CA3" w:rsidRDefault="001C0CA3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12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1C0CA3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 definicja  własności  intelektualnej ,   ochrona  własności  intelektualnej    a prawo autorskie ,  ochrona  własności intelektualnej  w prawie polskim (-ustawa z 4 lutego 1994 r.  o  prawie autorskim i prawach pokrewnych ustawa z 30 czerwca 2000 r. prawo własności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ochronie baz danych;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lastRenderedPageBreak/>
              <w:t>- źródła  prawa autorskiego w Unii Europejskiej , ze szczególnym uwzględnieniem  aktów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1C0CA3" w:rsidRDefault="00D70F4A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1C0CA3" w:rsidRPr="002534B0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1C0CA3" w:rsidRDefault="00D70F4A">
            <w:pPr>
              <w:pStyle w:val="Standard"/>
              <w:ind w:firstLine="250"/>
              <w:rPr>
                <w:rFonts w:hint="eastAsia"/>
              </w:rPr>
            </w:pPr>
            <w:r w:rsidRPr="002534B0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1C0CA3" w:rsidRPr="002534B0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1C0CA3" w:rsidRPr="002534B0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1C0CA3" w:rsidRPr="002534B0" w:rsidRDefault="001C0CA3">
      <w:pPr>
        <w:pStyle w:val="Standard"/>
        <w:rPr>
          <w:rFonts w:ascii="Corbel" w:hAnsi="Corbel"/>
          <w:lang w:val="pl-PL"/>
        </w:rPr>
      </w:pP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1C0CA3" w:rsidRDefault="001C0CA3">
      <w:pPr>
        <w:pStyle w:val="Akapitzlist"/>
        <w:spacing w:after="0"/>
        <w:ind w:left="0"/>
        <w:rPr>
          <w:rFonts w:ascii="Corbel" w:hAnsi="Corbel"/>
        </w:rPr>
      </w:pPr>
    </w:p>
    <w:p w:rsidR="001C0CA3" w:rsidRDefault="00D70F4A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lastRenderedPageBreak/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1C0CA3" w:rsidRDefault="001C0CA3">
      <w:pPr>
        <w:pStyle w:val="Punktygwne"/>
        <w:spacing w:before="0" w:after="0"/>
      </w:pPr>
    </w:p>
    <w:p w:rsidR="001C0CA3" w:rsidRDefault="00D70F4A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1C0CA3" w:rsidRPr="002534B0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 METODY I KRYTERIA OCENY</w:t>
      </w:r>
    </w:p>
    <w:p w:rsidR="001C0CA3" w:rsidRPr="002534B0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4.1 Sposoby weryfikacji efektów uczenia się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1C0CA3" w:rsidRPr="002534B0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534B0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1C0CA3" w:rsidRPr="002534B0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1C0CA3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Pr="002534B0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2534B0">
        <w:rPr>
          <w:rFonts w:ascii="Corbel" w:hAnsi="Corbel"/>
          <w:lang w:val="pl-PL"/>
        </w:rPr>
        <w:t>4.2 Warunki zaliczenia przedmiotu (kryteria oceniania)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 w:rsidRPr="002534B0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D70F4A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534B0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1C0CA3" w:rsidRPr="002534B0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5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18,5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1C0CA3" w:rsidRPr="002534B0" w:rsidRDefault="00D70F4A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534B0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1C0CA3" w:rsidRPr="002534B0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1C0CA3" w:rsidRPr="002534B0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1C0CA3" w:rsidRPr="002534B0" w:rsidRDefault="00D70F4A">
            <w:pPr>
              <w:pStyle w:val="Standard"/>
              <w:rPr>
                <w:rFonts w:ascii="Corbel" w:hAnsi="Corbel"/>
                <w:lang w:val="pl-PL"/>
              </w:rPr>
            </w:pPr>
            <w:r w:rsidRPr="002534B0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Michalak G.), Wydawnictwo C .H. Beck , Warszawa 2019;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. Aspekty prawne i procedury dochodzenia </w:t>
            </w:r>
            <w:r w:rsidRPr="002534B0">
              <w:rPr>
                <w:rFonts w:ascii="Corbel" w:hAnsi="Corbel"/>
                <w:b w:val="0"/>
                <w:lang w:val="pl-PL"/>
              </w:rPr>
              <w:lastRenderedPageBreak/>
              <w:t xml:space="preserve">roszczeń. Wzory pism, Orzecznictwo, Wydawnictwo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534B0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1C0CA3" w:rsidRPr="002534B0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2534B0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2534B0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1C0CA3" w:rsidRPr="002534B0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2534B0" w:rsidRDefault="00D70F4A">
      <w:pPr>
        <w:pStyle w:val="Standard"/>
        <w:rPr>
          <w:rFonts w:ascii="Corbel" w:hAnsi="Corbel" w:cs="Times New Roman"/>
          <w:lang w:val="pl-PL"/>
        </w:rPr>
      </w:pPr>
      <w:r w:rsidRPr="002534B0">
        <w:rPr>
          <w:rFonts w:ascii="Corbel" w:hAnsi="Corbel" w:cs="Times New Roman"/>
          <w:lang w:val="pl-PL"/>
        </w:rPr>
        <w:t>Akceptacja Kierownika Jednostki lub osoby upoważnionej</w:t>
      </w:r>
    </w:p>
    <w:p w:rsidR="001C0CA3" w:rsidRPr="002534B0" w:rsidRDefault="001C0CA3">
      <w:pPr>
        <w:pStyle w:val="Standard"/>
        <w:rPr>
          <w:rFonts w:ascii="Corbel" w:hAnsi="Corbel" w:cs="Times New Roman"/>
          <w:b/>
          <w:lang w:val="pl-PL"/>
        </w:rPr>
      </w:pPr>
    </w:p>
    <w:sectPr w:rsidR="001C0CA3" w:rsidRPr="002534B0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C02" w:rsidRDefault="00195C02">
      <w:pPr>
        <w:rPr>
          <w:rFonts w:hint="eastAsia"/>
        </w:rPr>
      </w:pPr>
      <w:r>
        <w:separator/>
      </w:r>
    </w:p>
  </w:endnote>
  <w:endnote w:type="continuationSeparator" w:id="0">
    <w:p w:rsidR="00195C02" w:rsidRDefault="00195C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C02" w:rsidRDefault="00195C0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95C02" w:rsidRDefault="00195C0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476DD"/>
    <w:multiLevelType w:val="multilevel"/>
    <w:tmpl w:val="A538E856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A3"/>
    <w:rsid w:val="00195C02"/>
    <w:rsid w:val="001A180D"/>
    <w:rsid w:val="001C0CA3"/>
    <w:rsid w:val="001D4AF4"/>
    <w:rsid w:val="002534B0"/>
    <w:rsid w:val="0025467A"/>
    <w:rsid w:val="004B2AB9"/>
    <w:rsid w:val="005E3177"/>
    <w:rsid w:val="00744686"/>
    <w:rsid w:val="009353E1"/>
    <w:rsid w:val="00CB3B04"/>
    <w:rsid w:val="00D70F4A"/>
    <w:rsid w:val="00EB78CF"/>
    <w:rsid w:val="00F73EDE"/>
    <w:rsid w:val="00F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8C00"/>
  <w15:docId w15:val="{086FC58D-AF39-4A83-A463-305F549D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3E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DE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Lencka Elżbieta</cp:lastModifiedBy>
  <cp:revision>11</cp:revision>
  <cp:lastPrinted>2019-12-09T10:41:00Z</cp:lastPrinted>
  <dcterms:created xsi:type="dcterms:W3CDTF">2019-11-23T10:42:00Z</dcterms:created>
  <dcterms:modified xsi:type="dcterms:W3CDTF">2021-09-08T11:24:00Z</dcterms:modified>
</cp:coreProperties>
</file>